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106F20">
        <w:rPr>
          <w:rFonts w:ascii="Arial" w:hAnsi="Arial" w:cs="Arial"/>
          <w:bCs/>
          <w:sz w:val="20"/>
          <w:szCs w:val="20"/>
        </w:rPr>
        <w:t>.23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106F20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r w:rsidR="00A424D4" w:rsidRPr="00A424D4">
        <w:rPr>
          <w:rFonts w:ascii="Arial" w:hAnsi="Arial" w:cs="Arial"/>
          <w:b/>
          <w:sz w:val="21"/>
          <w:szCs w:val="21"/>
        </w:rPr>
        <w:t>Budowa promenady wzdłuż Wielkiego Kanału Brdy w Rytlu</w:t>
      </w:r>
      <w:r w:rsidRPr="00856F96">
        <w:rPr>
          <w:rFonts w:ascii="Arial" w:hAnsi="Arial" w:cs="Arial"/>
          <w:b/>
          <w:sz w:val="21"/>
          <w:szCs w:val="21"/>
        </w:rPr>
        <w:t xml:space="preserve">”, </w:t>
      </w:r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106F20" w:rsidRDefault="00106F2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106F20" w:rsidRDefault="00106F2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106F20" w:rsidRPr="00856F96" w:rsidRDefault="00106F2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</w:t>
      </w:r>
      <w:bookmarkStart w:id="0" w:name="_GoBack"/>
      <w:bookmarkEnd w:id="0"/>
      <w:r w:rsidRPr="00856F96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E62" w:rsidRDefault="00872E62">
      <w:r>
        <w:separator/>
      </w:r>
    </w:p>
  </w:endnote>
  <w:endnote w:type="continuationSeparator" w:id="0">
    <w:p w:rsidR="00872E62" w:rsidRDefault="00872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106F20">
    <w:pPr>
      <w:pStyle w:val="Stopka"/>
    </w:pPr>
    <w:r>
      <w:rPr>
        <w:noProof/>
        <w:lang w:eastAsia="pl-PL"/>
      </w:rPr>
      <w:drawing>
        <wp:inline distT="0" distB="0" distL="0" distR="0" wp14:anchorId="5DC50821" wp14:editId="6AD5C0F0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E62" w:rsidRDefault="00872E62">
      <w:r>
        <w:separator/>
      </w:r>
    </w:p>
  </w:footnote>
  <w:footnote w:type="continuationSeparator" w:id="0">
    <w:p w:rsidR="00872E62" w:rsidRDefault="00872E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A424D4" w:rsidRPr="00FD0819" w:rsidTr="009A6861">
      <w:tc>
        <w:tcPr>
          <w:tcW w:w="3070" w:type="dxa"/>
          <w:hideMark/>
        </w:tcPr>
        <w:p w:rsidR="00A424D4" w:rsidRPr="00FD0819" w:rsidRDefault="00A424D4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79C3D17B" wp14:editId="684843AF">
                <wp:extent cx="1163955" cy="659130"/>
                <wp:effectExtent l="0" t="0" r="0" b="7620"/>
                <wp:docPr id="5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  <w:hideMark/>
        </w:tcPr>
        <w:p w:rsidR="00A424D4" w:rsidRPr="00FD0819" w:rsidRDefault="00A424D4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  <w:tc>
        <w:tcPr>
          <w:tcW w:w="3070" w:type="dxa"/>
        </w:tcPr>
        <w:p w:rsidR="00A424D4" w:rsidRPr="00FD0819" w:rsidRDefault="00A424D4" w:rsidP="009A6861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FD0819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37596EE9" wp14:editId="7D00AE6B">
                <wp:extent cx="1151890" cy="754380"/>
                <wp:effectExtent l="0" t="0" r="0" b="7620"/>
                <wp:docPr id="6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A424D4" w:rsidRPr="00FD0819" w:rsidRDefault="00A424D4" w:rsidP="009A6861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A424D4" w:rsidRPr="00FD0819" w:rsidRDefault="00A424D4" w:rsidP="00A424D4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</w:p>
  <w:p w:rsidR="00A424D4" w:rsidRPr="00FD0819" w:rsidRDefault="00A424D4" w:rsidP="00A424D4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„Europejski Fundusz Rolny na rzecz Rozwoju Obszarów Wiejskich: </w:t>
    </w:r>
  </w:p>
  <w:p w:rsidR="00A424D4" w:rsidRPr="00FD0819" w:rsidRDefault="00A424D4" w:rsidP="00A424D4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lang w:eastAsia="pl-PL"/>
      </w:rPr>
    </w:pPr>
    <w:r w:rsidRPr="00FD0819">
      <w:rPr>
        <w:rFonts w:ascii="Arial" w:eastAsia="Times New Roman" w:hAnsi="Arial"/>
        <w:color w:val="0F243E"/>
        <w:sz w:val="18"/>
        <w:lang w:eastAsia="pl-PL"/>
      </w:rPr>
      <w:t xml:space="preserve">Europa inwestująca w obszary wiejskie”. </w:t>
    </w: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06F2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66A87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1777"/>
    <w:rsid w:val="00815FF0"/>
    <w:rsid w:val="00831173"/>
    <w:rsid w:val="00856F96"/>
    <w:rsid w:val="00870733"/>
    <w:rsid w:val="00872E62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424D4"/>
    <w:rsid w:val="00A57C95"/>
    <w:rsid w:val="00A67025"/>
    <w:rsid w:val="00A72CDA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44CA4"/>
    <w:rsid w:val="00D55A70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2013-01-24T09:21:00Z</cp:lastPrinted>
  <dcterms:created xsi:type="dcterms:W3CDTF">2013-01-22T10:46:00Z</dcterms:created>
  <dcterms:modified xsi:type="dcterms:W3CDTF">2019-06-06T14:25:00Z</dcterms:modified>
</cp:coreProperties>
</file>